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Nunito" w:cs="Nunito" w:eastAsia="Nunito" w:hAnsi="Nunito"/>
          <w:b w:val="1"/>
          <w:color w:val="33cc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33ccff"/>
          <w:sz w:val="50"/>
          <w:szCs w:val="50"/>
        </w:rPr>
      </w:pPr>
      <w:r w:rsidDel="00000000" w:rsidR="00000000" w:rsidRPr="00000000">
        <w:rPr>
          <w:rFonts w:ascii="Nunito" w:cs="Nunito" w:eastAsia="Nunito" w:hAnsi="Nunito"/>
          <w:b w:val="1"/>
          <w:color w:val="33ccff"/>
          <w:sz w:val="50"/>
          <w:szCs w:val="50"/>
          <w:rtl w:val="0"/>
        </w:rPr>
        <w:t xml:space="preserve">Learning types and learning activities 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color w:val="33cc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In the table below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you see an overview of six learning types and corresponding learning activities from the ABC model.</w:t>
      </w:r>
      <w:r w:rsidDel="00000000" w:rsidR="00000000" w:rsidRPr="00000000">
        <w:rPr>
          <w:rFonts w:ascii="Nunito" w:cs="Nunito" w:eastAsia="Nunito" w:hAnsi="Nunito"/>
          <w:vertAlign w:val="superscript"/>
        </w:rPr>
        <w:footnoteReference w:customMarkFollows="0" w:id="0"/>
      </w:r>
      <w:r w:rsidDel="00000000" w:rsidR="00000000" w:rsidRPr="00000000">
        <w:rPr>
          <w:rFonts w:ascii="Nunito" w:cs="Nunito" w:eastAsia="Nunito" w:hAnsi="Nunito"/>
          <w:rtl w:val="0"/>
        </w:rPr>
        <w:t xml:space="preserve"> You may want to look at this overview before or while completing the assignment. 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.5"/>
        <w:gridCol w:w="1650.5"/>
        <w:gridCol w:w="1650.5"/>
        <w:gridCol w:w="1650.5"/>
        <w:gridCol w:w="1650.5"/>
        <w:gridCol w:w="1650.5"/>
        <w:tblGridChange w:id="0">
          <w:tblGrid>
            <w:gridCol w:w="1650.5"/>
            <w:gridCol w:w="1650.5"/>
            <w:gridCol w:w="1650.5"/>
            <w:gridCol w:w="1650.5"/>
            <w:gridCol w:w="1650.5"/>
            <w:gridCol w:w="1650.5"/>
          </w:tblGrid>
        </w:tblGridChange>
      </w:tblGrid>
      <w:tr>
        <w:trPr>
          <w:trHeight w:val="576.92" w:hRule="atLeast"/>
        </w:trPr>
        <w:tc>
          <w:tcPr>
            <w:gridSpan w:val="6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Learning types</w:t>
            </w:r>
          </w:p>
        </w:tc>
      </w:tr>
      <w:tr>
        <w:trPr>
          <w:trHeight w:val="576.92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Acquisition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Collaboration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Discussion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Investigation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Practice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Production </w:t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acquisition is what learners are doing when they are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listening to a lecture or a podcast, reading from books or websites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, and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watching demos or videos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collaboration embraces mainly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discussion, practice and production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. Building on investigations and acquisition it is about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taking part in the process of knowledge building itself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.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discussion requires the learner to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articulate their ideas and questions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, and to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challenge and respond to the ideas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from the teacher and/or from their peers.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investigation guides the learner to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explore, compare and critique texts, documents and resources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that reflect the concepts and ideas taught. 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practice enables the learner to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 adapt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their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actions to the task goal and use the feedback to improve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their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next action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. Feedback may come from self-reflection, from peers, from the teacher, or from the activity itself, if it shows them how to improve the result of their action in relation to the goal.   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Learning through production is the way the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 teacher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motivates the learner to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consolidate what they have learned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by articulating their conceptual understanding and how they used it in practice. </w:t>
            </w:r>
          </w:p>
        </w:tc>
      </w:tr>
    </w:tbl>
    <w:p w:rsidR="00000000" w:rsidDel="00000000" w:rsidP="00000000" w:rsidRDefault="00000000" w:rsidRPr="00000000" w14:paraId="0000001A">
      <w:pPr>
        <w:spacing w:after="160" w:line="257" w:lineRule="auto"/>
        <w:rPr>
          <w:rFonts w:ascii="Nunito" w:cs="Nunito" w:eastAsia="Nunito" w:hAnsi="Nunito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.5"/>
        <w:gridCol w:w="1650.5"/>
        <w:gridCol w:w="1650.5"/>
        <w:gridCol w:w="1650.5"/>
        <w:gridCol w:w="1650.5"/>
        <w:gridCol w:w="1650.5"/>
        <w:tblGridChange w:id="0">
          <w:tblGrid>
            <w:gridCol w:w="1650.5"/>
            <w:gridCol w:w="1650.5"/>
            <w:gridCol w:w="1650.5"/>
            <w:gridCol w:w="1650.5"/>
            <w:gridCol w:w="1650.5"/>
            <w:gridCol w:w="1650.5"/>
          </w:tblGrid>
        </w:tblGridChange>
      </w:tblGrid>
      <w:tr>
        <w:trPr>
          <w:trHeight w:val="4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Learning activities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Acquisition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Collaboration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Discussion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Investigation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Practice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18"/>
                <w:szCs w:val="18"/>
                <w:rtl w:val="0"/>
              </w:rPr>
              <w:t xml:space="preserve">Production </w:t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Reading books, papers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Listening to teacher presentations face-to-face, lectures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Watching demonstrations, master classes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Reading multimedia, websites, digital documents and resources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Listening to podcasts, webcasts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Watching animations, video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Small group project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Discussing others’ outputs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Building joint output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Small group projects using online forums, wikis, chat rooms etc. for discussing others’ outputs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Building a joint digital output 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Tutorials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Seminars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Discussion groups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Online tutorials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Seminars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discussions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Discussion groups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Discussion forums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Web-conferencing tools (synchronous /asynchronous)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text-based study guides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Analysing the  ideas and information in a range of materials and resources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conventional methods to collect and analyse data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Comparing texts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Searching and evaluating information and ideas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online advice and guidance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Analysing the ideas and information in a range of digital resources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digital tools to collect and analyse data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Comparing digital texts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283.4645669291342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digital tools for searching and evaluating information and ideas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Practising exercises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Doing practice-based projects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Labs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Field trips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Face-to-face role-play activities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Using models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Simulations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Microworlds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Virtual labs and field trips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283.4645669291342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Online role play activities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Conventional method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Essays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Accounts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Designs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Performances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Artefacts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Animations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Models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i w:val="1"/>
                <w:sz w:val="18"/>
                <w:szCs w:val="18"/>
                <w:rtl w:val="0"/>
              </w:rPr>
              <w:t xml:space="preserve">Digital technology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Producing and storing digital documents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Representations of designs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Performances, artefacts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Animations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Models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Slideshows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Photos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Blogs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 w:hanging="36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E-portfolios 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line="240" w:lineRule="auto"/>
        <w:rPr>
          <w:rFonts w:ascii="Nunito" w:cs="Nunito" w:eastAsia="Nunito" w:hAnsi="Nunito"/>
          <w:b w:val="1"/>
          <w:color w:val="33cc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="240" w:lineRule="auto"/>
        <w:rPr>
          <w:rFonts w:ascii="Nunito" w:cs="Nunito" w:eastAsia="Nunito" w:hAnsi="Nunito"/>
          <w:b w:val="1"/>
          <w:color w:val="33cc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line="240" w:lineRule="auto"/>
        <w:rPr>
          <w:rFonts w:ascii="Nunito" w:cs="Nunito" w:eastAsia="Nunito" w:hAnsi="Nunito"/>
          <w:b w:val="1"/>
          <w:color w:val="33cc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.0000000000002" w:top="1440.0000000000002" w:left="566.9291338582684" w:right="1440.00000000000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tabs>
        <w:tab w:val="center" w:pos="4513"/>
        <w:tab w:val="right" w:pos="9026"/>
      </w:tabs>
      <w:spacing w:line="240" w:lineRule="auto"/>
      <w:jc w:val="right"/>
      <w:rPr/>
    </w:pPr>
    <w:r w:rsidDel="00000000" w:rsidR="00000000" w:rsidRPr="00000000">
      <w:rPr>
        <w:rFonts w:ascii="Nunito" w:cs="Nunito" w:eastAsia="Nunito" w:hAnsi="Nunito"/>
        <w:b w:val="1"/>
        <w:sz w:val="20"/>
        <w:szCs w:val="20"/>
      </w:rPr>
      <w:drawing>
        <wp:inline distB="114300" distT="114300" distL="114300" distR="114300">
          <wp:extent cx="6559913" cy="352425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9913" cy="352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jc w:val="right"/>
      <w:rPr/>
    </w:pPr>
    <w:r w:rsidDel="00000000" w:rsidR="00000000" w:rsidRPr="00000000">
      <w:rPr>
        <w:rFonts w:ascii="Nunito" w:cs="Nunito" w:eastAsia="Nunito" w:hAnsi="Nunito"/>
        <w:b w:val="1"/>
        <w:sz w:val="20"/>
        <w:szCs w:val="20"/>
      </w:rPr>
      <w:drawing>
        <wp:inline distB="114300" distT="114300" distL="114300" distR="114300">
          <wp:extent cx="6285600" cy="355600"/>
          <wp:effectExtent b="0" l="0" r="0" t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56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unito" w:cs="Nunito" w:eastAsia="Nunito" w:hAnsi="Nuni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2895600</wp:posOffset>
          </wp:positionH>
          <wp:positionV relativeFrom="paragraph">
            <wp:posOffset>66675</wp:posOffset>
          </wp:positionV>
          <wp:extent cx="783863" cy="271636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863" cy="2716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8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 Clive Young and Nataša Perović, UCL (2015). ABC Learning Design method and Laurillard, D (2012). Learning types. </w:t>
      </w:r>
    </w:p>
  </w:footnote>
  <w:footnote w:id="1">
    <w:p w:rsidR="00000000" w:rsidDel="00000000" w:rsidP="00000000" w:rsidRDefault="00000000" w:rsidRPr="00000000" w14:paraId="00000089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You can find additional learning activities here </w:t>
      </w:r>
      <w:hyperlink r:id="rId1">
        <w:r w:rsidDel="00000000" w:rsidR="00000000" w:rsidRPr="00000000">
          <w:rPr>
            <w:rFonts w:ascii="Nunito" w:cs="Nunito" w:eastAsia="Nunito" w:hAnsi="Nunito"/>
            <w:color w:val="1155cc"/>
            <w:sz w:val="18"/>
            <w:szCs w:val="18"/>
            <w:u w:val="single"/>
            <w:rtl w:val="0"/>
          </w:rPr>
          <w:t xml:space="preserve">https://bit.ly/3x1cfQV</w:t>
        </w:r>
      </w:hyperlink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tabs>
        <w:tab w:val="center" w:pos="4513"/>
        <w:tab w:val="right" w:pos="9026"/>
        <w:tab w:val="left" w:pos="6749"/>
      </w:tabs>
      <w:spacing w:line="240" w:lineRule="auto"/>
      <w:rPr/>
    </w:pPr>
    <w:r w:rsidDel="00000000" w:rsidR="00000000" w:rsidRPr="00000000">
      <w:rPr>
        <w:rFonts w:ascii="Nunito" w:cs="Nunito" w:eastAsia="Nunito" w:hAnsi="Nunito"/>
        <w:b w:val="1"/>
        <w:color w:val="7f7f7f"/>
        <w:sz w:val="20"/>
        <w:szCs w:val="20"/>
      </w:rPr>
      <w:drawing>
        <wp:inline distB="114300" distT="114300" distL="114300" distR="114300">
          <wp:extent cx="1971675" cy="1130884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440" l="24647" r="26760" t="29142"/>
                  <a:stretch>
                    <a:fillRect/>
                  </a:stretch>
                </pic:blipFill>
                <pic:spPr>
                  <a:xfrm>
                    <a:off x="0" y="0"/>
                    <a:ext cx="1971675" cy="1130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tabs>
        <w:tab w:val="center" w:pos="4513"/>
        <w:tab w:val="right" w:pos="9026"/>
        <w:tab w:val="left" w:pos="6749"/>
      </w:tabs>
      <w:spacing w:line="240" w:lineRule="auto"/>
      <w:ind w:firstLine="0"/>
      <w:rPr/>
    </w:pPr>
    <w:r w:rsidDel="00000000" w:rsidR="00000000" w:rsidRPr="00000000">
      <w:rPr>
        <w:rFonts w:ascii="Nunito" w:cs="Nunito" w:eastAsia="Nunito" w:hAnsi="Nunito"/>
        <w:b w:val="1"/>
        <w:color w:val="7f7f7f"/>
        <w:sz w:val="20"/>
        <w:szCs w:val="20"/>
      </w:rPr>
      <w:drawing>
        <wp:inline distB="114300" distT="114300" distL="114300" distR="114300">
          <wp:extent cx="1311637" cy="754033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1440" l="24647" r="26760" t="29142"/>
                  <a:stretch>
                    <a:fillRect/>
                  </a:stretch>
                </pic:blipFill>
                <pic:spPr>
                  <a:xfrm>
                    <a:off x="0" y="0"/>
                    <a:ext cx="1311637" cy="7540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bit.ly/3x1cfQ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zu8lJSXhnCAFSB8NuHX+fiLGQ==">AMUW2mWgGYcbMJEi30byK1i+g+7/ocr4HhxTGtPd/8Jwlx4RzB1HOH98MTacx6OXMKAV3r7PLrRm6TyxaphXWg46KDFnrdkpPd/gmY28iu8Xg92QwwYEcTg=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