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hd w:fill="ffffff" w:val="clear"/>
        <w:spacing w:after="204" w:lineRule="auto"/>
        <w:jc w:val="center"/>
        <w:rPr>
          <w:rFonts w:ascii="Nunito" w:cs="Nunito" w:eastAsia="Nunito" w:hAnsi="Nunito"/>
          <w:sz w:val="28"/>
          <w:szCs w:val="28"/>
        </w:rPr>
      </w:pPr>
      <w:bookmarkStart w:colFirst="0" w:colLast="0" w:name="_heading=h.aymk611ut7os" w:id="0"/>
      <w:bookmarkEnd w:id="0"/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Module 1 Video Script: What is Open Science?</w:t>
      </w:r>
      <w:r w:rsidDel="00000000" w:rsidR="00000000" w:rsidRPr="00000000">
        <w:rPr>
          <w:rFonts w:ascii="Nunito" w:cs="Nunito" w:eastAsia="Nunito" w:hAnsi="Nunito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3"/>
        <w:spacing w:line="259" w:lineRule="auto"/>
        <w:rPr>
          <w:sz w:val="32"/>
          <w:szCs w:val="32"/>
        </w:rPr>
      </w:pPr>
      <w:bookmarkStart w:colFirst="0" w:colLast="0" w:name="_heading=h.rsfoiz4hvyzt" w:id="1"/>
      <w:bookmarkEnd w:id="1"/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Introduction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Pedro works as a researcher in Spain. For years he has been investigating the effects of artificial intelligence on human beings. On the other side of the continent, Anna, a Polish researcher is developing a new software to detect and treat human viruses.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9" w:lineRule="auto"/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Just like most researchers, Pedro and Anna create and use numerous data by conducting lab experiments, doing surveys, and observing people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Together,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they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are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investing a lot of time and energy in pursuit of scientific research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Their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findings have the potential to improve and save thousands of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people’s lives and make new discoveries.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However,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do other researchers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and the public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really know of the valuable work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Pedro and Anna are doing? And are these two researchers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being recognized for their hard work?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And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are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Pedro and Anna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making the most of the resources out there?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Let’s explore these issues deeper by discussing Open Science and why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it is relevant for researchers like Petro and Anna, and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rPr>
          <w:rFonts w:ascii="Nunito" w:cs="Nunito" w:eastAsia="Nunito" w:hAnsi="Nunito"/>
          <w:sz w:val="24"/>
          <w:szCs w:val="24"/>
        </w:rPr>
      </w:pPr>
      <w:bookmarkStart w:colFirst="0" w:colLast="0" w:name="_heading=h.ugbbk56r9o9j" w:id="2"/>
      <w:bookmarkEnd w:id="2"/>
      <w:r w:rsidDel="00000000" w:rsidR="00000000" w:rsidRPr="00000000">
        <w:rPr>
          <w:rFonts w:ascii="Nunito" w:cs="Nunito" w:eastAsia="Nunito" w:hAnsi="Nunito"/>
          <w:sz w:val="24"/>
          <w:szCs w:val="24"/>
          <w:rtl w:val="0"/>
        </w:rPr>
        <w:t xml:space="preserve">What is Open Science?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We can define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Open Science as a movement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to make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scientific processes more transparent and results mor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e accessible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. But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h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ow do we get there?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Building a more replicable and robust science requires researchers to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share their code, data, and research papers with the rest of the world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. In other words,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Open Science is about ‘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openly creating, sharing and assessing research, wherever this is viable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’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(</w:t>
      </w:r>
      <w:hyperlink r:id="rId7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Kramer &amp; Bosman 2018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), and it can be done prior, during and after research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The origins behind the movement reach back to the 17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superscript"/>
          <w:rtl w:val="0"/>
        </w:rPr>
        <w:t xml:space="preserve">th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century with the first publication of academic journals. Ever since there has been a growing drive to share scholarly resources across different research disciplines, and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an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increased transparency for greater efficiency, rigour, accountability, sustainability for future generations, and reproducibility of research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(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https://book.fosteropenscience.eu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Beginning around 2010, a number of ethical cases emerged on the surface questioning the integrity of scientific practices among researchers (</w:t>
      </w:r>
      <w:hyperlink r:id="rId8">
        <w:r w:rsidDel="00000000" w:rsidR="00000000" w:rsidRPr="00000000">
          <w:rPr>
            <w:rFonts w:ascii="Nunito" w:cs="Nunito" w:eastAsia="Nunito" w:hAnsi="Nunito"/>
            <w:i w:val="0"/>
            <w:smallCaps w:val="0"/>
            <w:strike w:val="0"/>
            <w:sz w:val="22"/>
            <w:szCs w:val="22"/>
            <w:u w:val="single"/>
            <w:vertAlign w:val="baseline"/>
            <w:rtl w:val="0"/>
          </w:rPr>
          <w:t xml:space="preserve">Spellman, Gilbert &amp; Corker 2017</w:t>
        </w:r>
      </w:hyperlink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. Unsettling concerns about fraud, data manipulation, and selective reporting of results have led to the formation of the current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pen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cience movement.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54" w:right="0" w:firstLine="0"/>
        <w:jc w:val="both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rPr>
          <w:rFonts w:ascii="Nunito" w:cs="Nunito" w:eastAsia="Nunito" w:hAnsi="Nunito"/>
          <w:b w:val="1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As a result of the growing pressure for transparency, many research academies and governments now require publicly-funded research to be shared more openly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, for instance via open access.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In addition, a significant number of scholarly journals also require or reward some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pen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cience practices such as pre-registration, providing full materials, and posting data etc. (</w:t>
      </w:r>
      <w:hyperlink r:id="rId9">
        <w:r w:rsidDel="00000000" w:rsidR="00000000" w:rsidRPr="00000000">
          <w:rPr>
            <w:rFonts w:ascii="Nunito" w:cs="Nunito" w:eastAsia="Nunito" w:hAnsi="Nunito"/>
            <w:i w:val="0"/>
            <w:smallCaps w:val="0"/>
            <w:strike w:val="0"/>
            <w:sz w:val="22"/>
            <w:szCs w:val="22"/>
            <w:u w:val="single"/>
            <w:vertAlign w:val="baseline"/>
            <w:rtl w:val="0"/>
          </w:rPr>
          <w:t xml:space="preserve">Spellman, Gilbert &amp; Corker 2017</w:t>
        </w:r>
      </w:hyperlink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Nunito" w:cs="Nunito" w:eastAsia="Nunito" w:hAnsi="Nunito"/>
          <w:b w:val="1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So why should Pedro and Anna care about Open Science? And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w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hy should you?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Let’s look closer.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There is s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olid research evidence showing numerous benefits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for researchers of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making their data open and sharing it with others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, such as:</w:t>
      </w:r>
    </w:p>
    <w:p w:rsidR="00000000" w:rsidDel="00000000" w:rsidP="00000000" w:rsidRDefault="00000000" w:rsidRPr="00000000" w14:paraId="00000014">
      <w:pPr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Increased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citation rates and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getting noticed (</w:t>
      </w:r>
      <w:hyperlink r:id="rId10">
        <w:r w:rsidDel="00000000" w:rsidR="00000000" w:rsidRPr="00000000">
          <w:rPr>
            <w:rFonts w:ascii="Nunito" w:cs="Nunito" w:eastAsia="Nunito" w:hAnsi="Nunito"/>
            <w:i w:val="0"/>
            <w:smallCaps w:val="0"/>
            <w:strike w:val="0"/>
            <w:sz w:val="22"/>
            <w:szCs w:val="22"/>
            <w:u w:val="single"/>
            <w:vertAlign w:val="baseline"/>
            <w:rtl w:val="0"/>
          </w:rPr>
          <w:t xml:space="preserve">McKieranan et al 2018</w:t>
        </w:r>
      </w:hyperlink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36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Better publication productivity (</w:t>
      </w:r>
      <w:hyperlink r:id="rId11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McKieranan et al 2018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Higher impact of scholarly articles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(</w:t>
      </w:r>
      <w:hyperlink r:id="rId12">
        <w:r w:rsidDel="00000000" w:rsidR="00000000" w:rsidRPr="00000000">
          <w:rPr>
            <w:rFonts w:ascii="Nunito" w:cs="Nunito" w:eastAsia="Nunito" w:hAnsi="Nunito"/>
            <w:i w:val="0"/>
            <w:smallCaps w:val="0"/>
            <w:strike w:val="0"/>
            <w:sz w:val="22"/>
            <w:szCs w:val="22"/>
            <w:u w:val="single"/>
            <w:vertAlign w:val="baseline"/>
            <w:rtl w:val="0"/>
          </w:rPr>
          <w:t xml:space="preserve">Tennant et al 2016</w:t>
        </w:r>
      </w:hyperlink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36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Fewer errors in final articles (</w:t>
      </w:r>
      <w:hyperlink r:id="rId13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Tennant et al 2016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36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New opportunities to connect with others  (</w:t>
      </w:r>
      <w:hyperlink r:id="rId14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McKieranan et al 2018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36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New research questions arise that can only be answered by combining different datasets (</w:t>
      </w:r>
      <w:hyperlink r:id="rId15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Tennant et al 2016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Better documentation and reproducibility, especially when data are stored in trustworthy digital repositories (</w:t>
      </w:r>
      <w:hyperlink r:id="rId16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McKieranan et al 2018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36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Lower costs of performing research as open data allows researchers to better estimate what is happening in their fields (</w:t>
      </w:r>
      <w:hyperlink r:id="rId17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Tennant et al 2016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Meeting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funders’ requirements (</w:t>
      </w:r>
      <w:hyperlink r:id="rId18">
        <w:r w:rsidDel="00000000" w:rsidR="00000000" w:rsidRPr="00000000">
          <w:rPr>
            <w:rFonts w:ascii="Nunito" w:cs="Nunito" w:eastAsia="Nunito" w:hAnsi="Nunito"/>
            <w:i w:val="0"/>
            <w:smallCaps w:val="0"/>
            <w:strike w:val="0"/>
            <w:sz w:val="22"/>
            <w:szCs w:val="22"/>
            <w:u w:val="single"/>
            <w:vertAlign w:val="baseline"/>
            <w:rtl w:val="0"/>
          </w:rPr>
          <w:t xml:space="preserve">McKieranan et al 2018</w:t>
        </w:r>
      </w:hyperlink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E">
      <w:pP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In addition to helping researchers do better research and be more transparent, another well-established Open Science practice called open access. Open access, as defined in the Berlin Declaration, means unrestricted, online access to peer-reviewed, scholarly research papers for reading and productive re-use, not impeded by any financial, organisational, legal or technical barriers. Ideally, the only restriction on use is an obligation to attribute the work to the author (</w:t>
      </w:r>
      <w:hyperlink r:id="rId19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WhiteRoseBrussels 2018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).</w:t>
      </w:r>
    </w:p>
    <w:p w:rsidR="00000000" w:rsidDel="00000000" w:rsidP="00000000" w:rsidRDefault="00000000" w:rsidRPr="00000000" w14:paraId="00000020">
      <w:pPr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There are a number of wider academic, economic, and societal benefits of open access. Some of these benefits are (</w:t>
      </w:r>
      <w:hyperlink r:id="rId20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Tennant et al 2016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Research articles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 are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covered in news media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and s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ocial media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Open research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articles help entrepreneurs and small businesses boost innovation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Open access supports lifelong learning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making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research material accessible to anyone with the Internet connection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Open access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lev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els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the playing field between Global North and Global South, and increases fair competition and the scientific potential of the Global South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Nunito" w:cs="Nunito" w:eastAsia="Nunito" w:hAnsi="Nunito"/>
          <w:i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Open data potentially has a great economic value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by creating </w:t>
      </w:r>
      <w:r w:rsidDel="00000000" w:rsidR="00000000" w:rsidRPr="00000000">
        <w:rPr>
          <w:rFonts w:ascii="Nunito" w:cs="Nunito" w:eastAsia="Nunito" w:hAnsi="Nunito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new jobs for analysis and re-use of these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So, what’s next?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Join the movement, and engage in Open Science practices now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! How can you do that? Follow the tips below:  </w:t>
      </w: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(</w:t>
      </w:r>
      <w:hyperlink r:id="rId21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McKieran et al 2018: 12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; </w:t>
      </w:r>
      <w:hyperlink r:id="rId22">
        <w:r w:rsidDel="00000000" w:rsidR="00000000" w:rsidRPr="00000000">
          <w:rPr>
            <w:rFonts w:ascii="Nunito" w:cs="Nunito" w:eastAsia="Nunito" w:hAnsi="Nunito"/>
            <w:sz w:val="22"/>
            <w:szCs w:val="22"/>
            <w:u w:val="single"/>
            <w:rtl w:val="0"/>
          </w:rPr>
          <w:t xml:space="preserve">Masuzzo &amp; Martens 2017</w:t>
        </w:r>
      </w:hyperlink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425.19685039370086" w:hanging="425.19685039370086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When possible, use and cite existing public data.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425.19685039370086" w:hanging="425.19685039370086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Whenever feasible, share your research data through trusted repositories.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425.19685039370086" w:hanging="425.19685039370086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If you use software code as part of your research cycle, release the code and the environment needed to run in.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425.19685039370086" w:hanging="425.19685039370086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Post free copies of your research articles online.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/>
        <w:ind w:left="425.19685039370086" w:hanging="425.19685039370086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Post pre-prints of your research manuscripts in publicly accessible trusted repositories.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240" w:before="0" w:beforeAutospacing="0" w:lineRule="auto"/>
        <w:ind w:left="425.19685039370086" w:hanging="425.19685039370086"/>
        <w:rPr>
          <w:rFonts w:ascii="Nunito" w:cs="Nunito" w:eastAsia="Nunito" w:hAnsi="Nunito"/>
          <w:sz w:val="22"/>
          <w:szCs w:val="22"/>
        </w:rPr>
      </w:pPr>
      <w:r w:rsidDel="00000000" w:rsidR="00000000" w:rsidRPr="00000000">
        <w:rPr>
          <w:rFonts w:ascii="Nunito" w:cs="Nunito" w:eastAsia="Nunito" w:hAnsi="Nunito"/>
          <w:sz w:val="22"/>
          <w:szCs w:val="22"/>
          <w:rtl w:val="0"/>
        </w:rPr>
        <w:t xml:space="preserve">Publish in open access venues whenever possible.</w:t>
      </w:r>
    </w:p>
    <w:p w:rsidR="00000000" w:rsidDel="00000000" w:rsidP="00000000" w:rsidRDefault="00000000" w:rsidRPr="00000000" w14:paraId="00000031">
      <w:pPr>
        <w:rPr>
          <w:rFonts w:ascii="Nunito" w:cs="Nunito" w:eastAsia="Nunito" w:hAnsi="Nun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footerReference r:id="rId25" w:type="even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center" w:pos="4513"/>
        <w:tab w:val="right" w:pos="9026"/>
      </w:tabs>
      <w:ind w:right="360"/>
      <w:jc w:val="right"/>
      <w:rPr/>
    </w:pPr>
    <w:r w:rsidDel="00000000" w:rsidR="00000000" w:rsidRPr="00000000">
      <w:rPr/>
      <w:drawing>
        <wp:inline distB="114300" distT="114300" distL="114300" distR="114300">
          <wp:extent cx="5731200" cy="3175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317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28575</wp:posOffset>
          </wp:positionV>
          <wp:extent cx="833185" cy="29355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3185" cy="293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Style w:val="Heading1"/>
      <w:shd w:fill="ffffff" w:val="clear"/>
      <w:spacing w:after="204" w:lineRule="auto"/>
      <w:ind w:hanging="850.3937007874015"/>
      <w:rPr>
        <w:rFonts w:ascii="Nunito" w:cs="Nunito" w:eastAsia="Nunito" w:hAnsi="Nunito"/>
        <w:sz w:val="20"/>
        <w:szCs w:val="20"/>
      </w:rPr>
    </w:pPr>
    <w:bookmarkStart w:colFirst="0" w:colLast="0" w:name="_heading=h.14l3qay6fopt" w:id="3"/>
    <w:bookmarkEnd w:id="3"/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Fonts w:ascii="Nunito" w:cs="Nunito" w:eastAsia="Nunito" w:hAnsi="Nunito"/>
        <w:sz w:val="22"/>
        <w:szCs w:val="22"/>
        <w:rtl w:val="0"/>
      </w:rPr>
      <w:t xml:space="preserve">Bringing synergy to better data management and research </w:t>
      <w:br w:type="textWrapping"/>
      <w:t xml:space="preserve">in Europe</w:t>
    </w:r>
    <w:r w:rsidDel="00000000" w:rsidR="00000000" w:rsidRPr="00000000">
      <w:rPr>
        <w:rFonts w:ascii="Nunito" w:cs="Nunito" w:eastAsia="Nunito" w:hAnsi="Nunito"/>
        <w:sz w:val="20"/>
        <w:szCs w:val="20"/>
        <w:rtl w:val="0"/>
      </w:rPr>
      <w:t xml:space="preserve">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-28574</wp:posOffset>
          </wp:positionV>
          <wp:extent cx="1252902" cy="607695"/>
          <wp:effectExtent b="0" l="0" r="0" t="0"/>
          <wp:wrapSquare wrapText="bothSides" distB="114300" distT="11430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2902" cy="6076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C4A7B"/>
    <w:rPr>
      <w:rFonts w:ascii="Times New Roman" w:cs="Times New Roman" w:eastAsia="Times New Roman" w:hAnsi="Times New Roman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9C4A7B"/>
    <w:pPr>
      <w:ind w:left="720"/>
      <w:contextualSpacing w:val="1"/>
    </w:pPr>
    <w:rPr>
      <w:rFonts w:asciiTheme="minorHAnsi" w:cstheme="minorBidi" w:eastAsiaTheme="minorHAnsi" w:hAnsiTheme="minorHAnsi"/>
      <w:lang w:eastAsia="en-US"/>
    </w:rPr>
  </w:style>
  <w:style w:type="paragraph" w:styleId="NormalWeb">
    <w:name w:val="Normal (Web)"/>
    <w:basedOn w:val="Normal"/>
    <w:uiPriority w:val="99"/>
    <w:unhideWhenUsed w:val="1"/>
    <w:rsid w:val="009C4A7B"/>
    <w:pPr>
      <w:spacing w:after="100" w:afterAutospacing="1" w:before="100" w:beforeAutospacing="1"/>
    </w:pPr>
  </w:style>
  <w:style w:type="paragraph" w:styleId="Footer">
    <w:name w:val="footer"/>
    <w:basedOn w:val="Normal"/>
    <w:link w:val="FooterChar"/>
    <w:uiPriority w:val="99"/>
    <w:unhideWhenUsed w:val="1"/>
    <w:rsid w:val="004F442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F442E"/>
    <w:rPr>
      <w:rFonts w:ascii="Times New Roman" w:cs="Times New Roman" w:eastAsia="Times New Roman" w:hAnsi="Times New Roman"/>
      <w:lang w:eastAsia="en-GB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4F442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f1000research.com/articles/5-632/v3" TargetMode="External"/><Relationship Id="rId22" Type="http://schemas.openxmlformats.org/officeDocument/2006/relationships/hyperlink" Target="https://peerj.com/preprints/2689v1.pdf" TargetMode="External"/><Relationship Id="rId21" Type="http://schemas.openxmlformats.org/officeDocument/2006/relationships/hyperlink" Target="https://elifesciences.org/articles/16800" TargetMode="External"/><Relationship Id="rId24" Type="http://schemas.openxmlformats.org/officeDocument/2006/relationships/footer" Target="footer1.xm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syarxiv.com/ak6jr" TargetMode="External"/><Relationship Id="rId25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presentation/d/1h_CpMY6iQ6xyOEW6DQmiB9GWCG16USIu_ClLPuMWGkY/edit#slide=id.g235946e421_2_79" TargetMode="External"/><Relationship Id="rId8" Type="http://schemas.openxmlformats.org/officeDocument/2006/relationships/hyperlink" Target="https://psyarxiv.com/ak6jr" TargetMode="External"/><Relationship Id="rId11" Type="http://schemas.openxmlformats.org/officeDocument/2006/relationships/hyperlink" Target="https://elifesciences.org/articles/16800" TargetMode="External"/><Relationship Id="rId10" Type="http://schemas.openxmlformats.org/officeDocument/2006/relationships/hyperlink" Target="https://elifesciences.org/articles/16800" TargetMode="External"/><Relationship Id="rId13" Type="http://schemas.openxmlformats.org/officeDocument/2006/relationships/hyperlink" Target="https://f1000research.com/articles/5-632/v3" TargetMode="External"/><Relationship Id="rId12" Type="http://schemas.openxmlformats.org/officeDocument/2006/relationships/hyperlink" Target="https://f1000research.com/articles/5-632/v3" TargetMode="External"/><Relationship Id="rId15" Type="http://schemas.openxmlformats.org/officeDocument/2006/relationships/hyperlink" Target="https://f1000research.com/articles/5-632/v3" TargetMode="External"/><Relationship Id="rId14" Type="http://schemas.openxmlformats.org/officeDocument/2006/relationships/hyperlink" Target="https://elifesciences.org/articles/16800" TargetMode="External"/><Relationship Id="rId17" Type="http://schemas.openxmlformats.org/officeDocument/2006/relationships/hyperlink" Target="https://f1000research.com/articles/5-632/v3" TargetMode="External"/><Relationship Id="rId16" Type="http://schemas.openxmlformats.org/officeDocument/2006/relationships/hyperlink" Target="https://elifesciences.org/articles/16800" TargetMode="External"/><Relationship Id="rId19" Type="http://schemas.openxmlformats.org/officeDocument/2006/relationships/hyperlink" Target="https://brussels.whiterose.ac.uk/the-european-open-science-cloud-the-future-of-open-access-research/" TargetMode="External"/><Relationship Id="rId18" Type="http://schemas.openxmlformats.org/officeDocument/2006/relationships/hyperlink" Target="https://elifesciences.org/articles/1680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AARssHOaGYkfU49ccLBLVTkRfg==">AMUW2mV5lgUetM5HNRGesi/a99ag8snbWcKxKViRQBUK5Kb5L9b3nY9CONSZZYsPA4HQ14vVEI4/S176WTKK5VF4j3b95BRht0j7JVMHxLelyGO70oqhAB9QfhOpggX2oBcksbYuaFVJKjqobv2BP5s39tYl2gAJADB62Gh1zNnfNUKep1dy/PwvsBOL0wZTFfRxXPxl6/vu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2020-07-01T08:27:00Z</dcterms:created>
  <dc:creator>Microsoft Office User</dc:creator>
</cp:coreProperties>
</file>